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48A1B" w14:textId="77777777" w:rsidR="00590A05" w:rsidRDefault="00590A05">
      <w:pPr>
        <w:widowControl w:val="0"/>
        <w:autoSpaceDE w:val="0"/>
        <w:autoSpaceDN w:val="0"/>
        <w:adjustRightInd w:val="0"/>
        <w:spacing w:after="60" w:line="240" w:lineRule="auto"/>
        <w:rPr>
          <w:rFonts w:ascii="Calibri" w:hAnsi="Calibri" w:cs="Calibri"/>
          <w:kern w:val="0"/>
          <w:sz w:val="22"/>
          <w:szCs w:val="22"/>
        </w:rPr>
      </w:pPr>
      <w:r>
        <w:rPr>
          <w:rFonts w:ascii="Calibri" w:hAnsi="Calibri" w:cs="Calibri"/>
          <w:b/>
          <w:bCs/>
          <w:color w:val="1F3A5F"/>
          <w:kern w:val="0"/>
          <w:sz w:val="32"/>
          <w:szCs w:val="32"/>
        </w:rPr>
        <w:t>Letter to your Senators</w:t>
      </w:r>
    </w:p>
    <w:p w14:paraId="644305C6" w14:textId="77777777" w:rsidR="00590A05" w:rsidRDefault="00590A05">
      <w:pPr>
        <w:widowControl w:val="0"/>
        <w:autoSpaceDE w:val="0"/>
        <w:autoSpaceDN w:val="0"/>
        <w:adjustRightInd w:val="0"/>
        <w:spacing w:after="240" w:line="240" w:lineRule="auto"/>
        <w:rPr>
          <w:rFonts w:ascii="Calibri" w:hAnsi="Calibri" w:cs="Calibri"/>
          <w:kern w:val="0"/>
          <w:sz w:val="22"/>
          <w:szCs w:val="22"/>
        </w:rPr>
      </w:pPr>
      <w:r>
        <w:rPr>
          <w:rFonts w:ascii="Calibri" w:hAnsi="Calibri" w:cs="Calibri"/>
          <w:color w:val="5A6470"/>
          <w:kern w:val="0"/>
          <w:sz w:val="18"/>
          <w:szCs w:val="18"/>
        </w:rPr>
        <w:t xml:space="preserve">Preparing </w:t>
      </w:r>
      <w:proofErr w:type="gramStart"/>
      <w:r>
        <w:rPr>
          <w:rFonts w:ascii="Calibri" w:hAnsi="Calibri" w:cs="Calibri"/>
          <w:color w:val="5A6470"/>
          <w:kern w:val="0"/>
          <w:sz w:val="18"/>
          <w:szCs w:val="18"/>
        </w:rPr>
        <w:t>Australia  ·</w:t>
      </w:r>
      <w:proofErr w:type="gramEnd"/>
      <w:r>
        <w:rPr>
          <w:rFonts w:ascii="Calibri" w:hAnsi="Calibri" w:cs="Calibri"/>
          <w:color w:val="5A6470"/>
          <w:kern w:val="0"/>
          <w:sz w:val="18"/>
          <w:szCs w:val="18"/>
        </w:rPr>
        <w:t xml:space="preserve">  preparingaustralia.au</w:t>
      </w:r>
    </w:p>
    <w:p w14:paraId="7A416E98" w14:textId="77777777" w:rsidR="00590A05" w:rsidRDefault="00590A05">
      <w:pPr>
        <w:widowControl w:val="0"/>
        <w:autoSpaceDE w:val="0"/>
        <w:autoSpaceDN w:val="0"/>
        <w:adjustRightInd w:val="0"/>
        <w:spacing w:after="180" w:line="240" w:lineRule="auto"/>
        <w:rPr>
          <w:rFonts w:ascii="Calibri" w:hAnsi="Calibri" w:cs="Calibri"/>
          <w:i/>
          <w:iCs/>
          <w:kern w:val="0"/>
          <w:sz w:val="22"/>
          <w:szCs w:val="22"/>
        </w:rPr>
      </w:pPr>
      <w:r>
        <w:rPr>
          <w:rFonts w:ascii="Calibri" w:hAnsi="Calibri" w:cs="Calibri"/>
          <w:i/>
          <w:iCs/>
          <w:kern w:val="0"/>
          <w:sz w:val="22"/>
          <w:szCs w:val="22"/>
        </w:rPr>
        <w:t>Optional, and worth doing. Senators represent your whole state, so anyone in the state is a constituent. Your state's senators are listed at aph.gov.au/</w:t>
      </w:r>
      <w:proofErr w:type="spellStart"/>
      <w:r>
        <w:rPr>
          <w:rFonts w:ascii="Calibri" w:hAnsi="Calibri" w:cs="Calibri"/>
          <w:i/>
          <w:iCs/>
          <w:kern w:val="0"/>
          <w:sz w:val="22"/>
          <w:szCs w:val="22"/>
        </w:rPr>
        <w:t>Senators_and_Members</w:t>
      </w:r>
      <w:proofErr w:type="spellEnd"/>
      <w:r>
        <w:rPr>
          <w:rFonts w:ascii="Calibri" w:hAnsi="Calibri" w:cs="Calibri"/>
          <w:i/>
          <w:iCs/>
          <w:kern w:val="0"/>
          <w:sz w:val="22"/>
          <w:szCs w:val="22"/>
        </w:rPr>
        <w:t>.</w:t>
      </w:r>
    </w:p>
    <w:p w14:paraId="3B3CAC1D"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i/>
          <w:iCs/>
          <w:kern w:val="0"/>
          <w:sz w:val="22"/>
          <w:szCs w:val="22"/>
        </w:rPr>
        <w:t>Fill in the square brackets. Leave the rest as written. Attach the one-page briefing.</w:t>
      </w:r>
    </w:p>
    <w:p w14:paraId="21A3A7C8" w14:textId="77777777" w:rsidR="00590A05" w:rsidRDefault="00590A05">
      <w:pPr>
        <w:widowControl w:val="0"/>
        <w:pBdr>
          <w:top w:val="single" w:sz="4" w:space="0" w:color="5A6470"/>
        </w:pBdr>
        <w:autoSpaceDE w:val="0"/>
        <w:autoSpaceDN w:val="0"/>
        <w:adjustRightInd w:val="0"/>
        <w:spacing w:after="180" w:line="240" w:lineRule="auto"/>
        <w:rPr>
          <w:rFonts w:ascii="Calibri" w:hAnsi="Calibri" w:cs="Calibri"/>
          <w:kern w:val="0"/>
          <w:sz w:val="22"/>
          <w:szCs w:val="22"/>
        </w:rPr>
      </w:pPr>
    </w:p>
    <w:p w14:paraId="1E6875EE"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b/>
          <w:bCs/>
          <w:kern w:val="0"/>
          <w:sz w:val="22"/>
          <w:szCs w:val="22"/>
        </w:rPr>
        <w:t>Subject:</w:t>
      </w:r>
      <w:r>
        <w:rPr>
          <w:rFonts w:ascii="Calibri" w:hAnsi="Calibri" w:cs="Calibri"/>
          <w:kern w:val="0"/>
          <w:sz w:val="22"/>
          <w:szCs w:val="22"/>
        </w:rPr>
        <w:t xml:space="preserve"> Senate estimates question on Defence's handling of its own 1971 UAP assessment</w:t>
      </w:r>
    </w:p>
    <w:p w14:paraId="2880EFDF"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Dear Senator [name],</w:t>
      </w:r>
    </w:p>
    <w:p w14:paraId="757F11A1"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I am writing from [suburb, state] to ask you to put a short set of questions to Defence, either at the next Senate estimates or as questions on notice.</w:t>
      </w:r>
    </w:p>
    <w:p w14:paraId="26D4429A"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 xml:space="preserve">The background is specific and documentable. In 1971, O.H. Turner, Head of Nuclear Branch in the Joint Intelligence Organisation and a nuclear physicist with a background in the British atomic test program in Australia, authored a classified assessment titled </w:t>
      </w:r>
      <w:r>
        <w:rPr>
          <w:rFonts w:ascii="Calibri" w:hAnsi="Calibri" w:cs="Calibri"/>
          <w:i/>
          <w:iCs/>
          <w:kern w:val="0"/>
          <w:sz w:val="22"/>
          <w:szCs w:val="22"/>
        </w:rPr>
        <w:t>Scientific and Intelligence Aspects of the UFO Problem</w:t>
      </w:r>
      <w:r>
        <w:rPr>
          <w:rFonts w:ascii="Calibri" w:hAnsi="Calibri" w:cs="Calibri"/>
          <w:kern w:val="0"/>
          <w:sz w:val="22"/>
          <w:szCs w:val="22"/>
        </w:rPr>
        <w:t>. It argued that the United States was running a public posture on UFOs that did not match its intelligence posture, and that Australia had adopted the public one without independent assessment. The document has been publicly available through the National Archives of Australia (A13693, 3092/2/000) since 2021, and in June 2026 it was cited by name at a bipartisan press conference on the steps of the US Capitol.</w:t>
      </w:r>
    </w:p>
    <w:p w14:paraId="380BE430"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Meanwhile the United States is actively releasing UAP-related records through its official PURSUE process, and allied governments have begun establishing parliamentary and public-health responses. Australia's air force ceased accepting UAP reports in 1996, and the Unusual Aerial Sightings policy was cancelled in 2013. Both facts were confirmed by Defence on the parliamentary record. There is currently no visible Australian reporting pathway, assessment function, or preparedness framework.</w:t>
      </w:r>
    </w:p>
    <w:p w14:paraId="3B3DE1E6"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The questions I would ask you to consider putting to Defence:</w:t>
      </w:r>
    </w:p>
    <w:p w14:paraId="501013F0" w14:textId="77777777" w:rsidR="00590A05" w:rsidRDefault="00590A05">
      <w:pPr>
        <w:widowControl w:val="0"/>
        <w:autoSpaceDE w:val="0"/>
        <w:autoSpaceDN w:val="0"/>
        <w:adjustRightInd w:val="0"/>
        <w:spacing w:after="120" w:line="240" w:lineRule="auto"/>
        <w:ind w:left="360"/>
        <w:rPr>
          <w:rFonts w:ascii="Calibri" w:hAnsi="Calibri" w:cs="Calibri"/>
          <w:kern w:val="0"/>
          <w:sz w:val="22"/>
          <w:szCs w:val="22"/>
        </w:rPr>
      </w:pPr>
      <w:r>
        <w:rPr>
          <w:rFonts w:ascii="Calibri" w:hAnsi="Calibri" w:cs="Calibri"/>
          <w:kern w:val="0"/>
          <w:sz w:val="22"/>
          <w:szCs w:val="22"/>
        </w:rPr>
        <w:t>1.</w:t>
      </w:r>
      <w:r>
        <w:rPr>
          <w:rFonts w:ascii="Calibri" w:hAnsi="Calibri" w:cs="Calibri"/>
          <w:kern w:val="0"/>
          <w:sz w:val="22"/>
          <w:szCs w:val="22"/>
        </w:rPr>
        <w:tab/>
        <w:t xml:space="preserve">Has Defence reviewed the 1971 Turner/JIO assessment and related Australian UAP records held by the National Archives, </w:t>
      </w:r>
      <w:proofErr w:type="gramStart"/>
      <w:r>
        <w:rPr>
          <w:rFonts w:ascii="Calibri" w:hAnsi="Calibri" w:cs="Calibri"/>
          <w:kern w:val="0"/>
          <w:sz w:val="22"/>
          <w:szCs w:val="22"/>
        </w:rPr>
        <w:t>in light of</w:t>
      </w:r>
      <w:proofErr w:type="gramEnd"/>
      <w:r>
        <w:rPr>
          <w:rFonts w:ascii="Calibri" w:hAnsi="Calibri" w:cs="Calibri"/>
          <w:kern w:val="0"/>
          <w:sz w:val="22"/>
          <w:szCs w:val="22"/>
        </w:rPr>
        <w:t xml:space="preserve"> current allied releases?</w:t>
      </w:r>
    </w:p>
    <w:p w14:paraId="13D9C0CC" w14:textId="77777777" w:rsidR="00590A05" w:rsidRDefault="00590A05">
      <w:pPr>
        <w:widowControl w:val="0"/>
        <w:autoSpaceDE w:val="0"/>
        <w:autoSpaceDN w:val="0"/>
        <w:adjustRightInd w:val="0"/>
        <w:spacing w:after="120" w:line="240" w:lineRule="auto"/>
        <w:ind w:left="360"/>
        <w:rPr>
          <w:rFonts w:ascii="Calibri" w:hAnsi="Calibri" w:cs="Calibri"/>
          <w:kern w:val="0"/>
          <w:sz w:val="22"/>
          <w:szCs w:val="22"/>
        </w:rPr>
      </w:pPr>
      <w:r>
        <w:rPr>
          <w:rFonts w:ascii="Calibri" w:hAnsi="Calibri" w:cs="Calibri"/>
          <w:kern w:val="0"/>
          <w:sz w:val="22"/>
          <w:szCs w:val="22"/>
        </w:rPr>
        <w:t>2.</w:t>
      </w:r>
      <w:r>
        <w:rPr>
          <w:rFonts w:ascii="Calibri" w:hAnsi="Calibri" w:cs="Calibri"/>
          <w:kern w:val="0"/>
          <w:sz w:val="22"/>
          <w:szCs w:val="22"/>
        </w:rPr>
        <w:tab/>
        <w:t>Does Defence have a current pathway for ADF personnel to report unidentified anomalous phenomena without stigma or career penalty?</w:t>
      </w:r>
    </w:p>
    <w:p w14:paraId="23C60716" w14:textId="77777777" w:rsidR="00590A05" w:rsidRDefault="00590A05">
      <w:pPr>
        <w:widowControl w:val="0"/>
        <w:autoSpaceDE w:val="0"/>
        <w:autoSpaceDN w:val="0"/>
        <w:adjustRightInd w:val="0"/>
        <w:spacing w:after="120" w:line="240" w:lineRule="auto"/>
        <w:ind w:left="360"/>
        <w:rPr>
          <w:rFonts w:ascii="Calibri" w:hAnsi="Calibri" w:cs="Calibri"/>
          <w:kern w:val="0"/>
          <w:sz w:val="22"/>
          <w:szCs w:val="22"/>
        </w:rPr>
      </w:pPr>
      <w:r>
        <w:rPr>
          <w:rFonts w:ascii="Calibri" w:hAnsi="Calibri" w:cs="Calibri"/>
          <w:kern w:val="0"/>
          <w:sz w:val="22"/>
          <w:szCs w:val="22"/>
        </w:rPr>
        <w:t>3.</w:t>
      </w:r>
      <w:r>
        <w:rPr>
          <w:rFonts w:ascii="Calibri" w:hAnsi="Calibri" w:cs="Calibri"/>
          <w:kern w:val="0"/>
          <w:sz w:val="22"/>
          <w:szCs w:val="22"/>
        </w:rPr>
        <w:tab/>
      </w:r>
      <w:r>
        <w:rPr>
          <w:rFonts w:ascii="Calibri" w:hAnsi="Calibri" w:cs="Calibri"/>
          <w:kern w:val="0"/>
          <w:sz w:val="22"/>
          <w:szCs w:val="22"/>
        </w:rPr>
        <w:t xml:space="preserve">Does Defence coordinate with Five Eyes partners on UAP-related records, reporting, or airspace-safety matters, and does </w:t>
      </w:r>
      <w:proofErr w:type="gramStart"/>
      <w:r>
        <w:rPr>
          <w:rFonts w:ascii="Calibri" w:hAnsi="Calibri" w:cs="Calibri"/>
          <w:kern w:val="0"/>
          <w:sz w:val="22"/>
          <w:szCs w:val="22"/>
        </w:rPr>
        <w:t>allied</w:t>
      </w:r>
      <w:proofErr w:type="gramEnd"/>
      <w:r>
        <w:rPr>
          <w:rFonts w:ascii="Calibri" w:hAnsi="Calibri" w:cs="Calibri"/>
          <w:kern w:val="0"/>
          <w:sz w:val="22"/>
          <w:szCs w:val="22"/>
        </w:rPr>
        <w:t xml:space="preserve"> release activity create any Australian obligations?</w:t>
      </w:r>
    </w:p>
    <w:p w14:paraId="7F0A9A93" w14:textId="77777777" w:rsidR="00590A05" w:rsidRDefault="00590A05">
      <w:pPr>
        <w:widowControl w:val="0"/>
        <w:autoSpaceDE w:val="0"/>
        <w:autoSpaceDN w:val="0"/>
        <w:adjustRightInd w:val="0"/>
        <w:spacing w:after="240" w:line="240" w:lineRule="auto"/>
        <w:ind w:left="360"/>
        <w:rPr>
          <w:rFonts w:ascii="Calibri" w:hAnsi="Calibri" w:cs="Calibri"/>
          <w:kern w:val="0"/>
          <w:sz w:val="22"/>
          <w:szCs w:val="22"/>
        </w:rPr>
      </w:pPr>
      <w:r>
        <w:rPr>
          <w:rFonts w:ascii="Calibri" w:hAnsi="Calibri" w:cs="Calibri"/>
          <w:kern w:val="0"/>
          <w:sz w:val="22"/>
          <w:szCs w:val="22"/>
        </w:rPr>
        <w:t>4.</w:t>
      </w:r>
      <w:r>
        <w:rPr>
          <w:rFonts w:ascii="Calibri" w:hAnsi="Calibri" w:cs="Calibri"/>
          <w:kern w:val="0"/>
          <w:sz w:val="22"/>
          <w:szCs w:val="22"/>
        </w:rPr>
        <w:tab/>
        <w:t>Has any Australian agency assessed the public-communication and preparedness implications of continued allied disclosure activity?</w:t>
      </w:r>
    </w:p>
    <w:p w14:paraId="54D8F376"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None of these questions require a position on what UAP are. They are questions about whether Australia does its own instituti</w:t>
      </w:r>
      <w:r>
        <w:rPr>
          <w:rFonts w:ascii="Calibri" w:hAnsi="Calibri" w:cs="Calibri"/>
          <w:kern w:val="0"/>
          <w:sz w:val="22"/>
          <w:szCs w:val="22"/>
        </w:rPr>
        <w:t>onal homework, which is precisely what Turner argued for in 1971 and did not get.</w:t>
      </w:r>
    </w:p>
    <w:p w14:paraId="2200CBAA"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I have attached a one-page briefing with all sources. I would be glad to provide fuller background to your office, or to speak with your staff at their convenience.</w:t>
      </w:r>
    </w:p>
    <w:p w14:paraId="1391EB6A" w14:textId="77777777" w:rsidR="00590A05" w:rsidRDefault="00590A05">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Yours sincerely,</w:t>
      </w:r>
    </w:p>
    <w:p w14:paraId="6000ECE4" w14:textId="77777777" w:rsidR="00590A05" w:rsidRDefault="00590A05">
      <w:pPr>
        <w:widowControl w:val="0"/>
        <w:autoSpaceDE w:val="0"/>
        <w:autoSpaceDN w:val="0"/>
        <w:adjustRightInd w:val="0"/>
        <w:spacing w:after="0" w:line="240" w:lineRule="auto"/>
        <w:rPr>
          <w:rFonts w:ascii="Calibri" w:hAnsi="Calibri" w:cs="Calibri"/>
          <w:kern w:val="0"/>
          <w:sz w:val="22"/>
          <w:szCs w:val="22"/>
        </w:rPr>
      </w:pPr>
    </w:p>
    <w:p w14:paraId="1E8CC730" w14:textId="77777777" w:rsidR="00590A05" w:rsidRDefault="00590A05">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[Your name]</w:t>
      </w:r>
    </w:p>
    <w:p w14:paraId="19C2468B" w14:textId="77777777" w:rsidR="00590A05" w:rsidRDefault="00590A05">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[Suburb, state]</w:t>
      </w:r>
    </w:p>
    <w:p w14:paraId="4D190E9F" w14:textId="77777777" w:rsidR="00590A05" w:rsidRDefault="00590A05">
      <w:pPr>
        <w:widowControl w:val="0"/>
        <w:autoSpaceDE w:val="0"/>
        <w:autoSpaceDN w:val="0"/>
        <w:adjustRightInd w:val="0"/>
        <w:spacing w:after="0" w:line="240" w:lineRule="auto"/>
        <w:rPr>
          <w:rFonts w:ascii="Calibri" w:hAnsi="Calibri" w:cs="Calibri"/>
          <w:kern w:val="0"/>
          <w:sz w:val="22"/>
          <w:szCs w:val="22"/>
        </w:rPr>
      </w:pPr>
      <w:r>
        <w:rPr>
          <w:rFonts w:ascii="Calibri" w:hAnsi="Calibri" w:cs="Calibri"/>
          <w:kern w:val="0"/>
          <w:sz w:val="22"/>
          <w:szCs w:val="22"/>
        </w:rPr>
        <w:t>[Email / phone]</w:t>
      </w:r>
    </w:p>
    <w:p w14:paraId="5552D894"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p>
    <w:p w14:paraId="664B9867"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i/>
          <w:iCs/>
          <w:kern w:val="0"/>
          <w:sz w:val="22"/>
          <w:szCs w:val="22"/>
        </w:rPr>
        <w:t>Attachment: one-page briefing</w:t>
      </w:r>
    </w:p>
    <w:p w14:paraId="7D22A42C" w14:textId="77777777" w:rsidR="00590A05" w:rsidRDefault="00590A05">
      <w:pPr>
        <w:widowControl w:val="0"/>
        <w:pBdr>
          <w:top w:val="single" w:sz="4" w:space="0" w:color="5A6470"/>
        </w:pBdr>
        <w:autoSpaceDE w:val="0"/>
        <w:autoSpaceDN w:val="0"/>
        <w:adjustRightInd w:val="0"/>
        <w:spacing w:after="180" w:line="240" w:lineRule="auto"/>
        <w:rPr>
          <w:rFonts w:ascii="Calibri" w:hAnsi="Calibri" w:cs="Calibri"/>
          <w:kern w:val="0"/>
          <w:sz w:val="22"/>
          <w:szCs w:val="22"/>
        </w:rPr>
      </w:pPr>
    </w:p>
    <w:p w14:paraId="35011662" w14:textId="77777777" w:rsidR="00590A05" w:rsidRDefault="00590A05">
      <w:pPr>
        <w:widowControl w:val="0"/>
        <w:autoSpaceDE w:val="0"/>
        <w:autoSpaceDN w:val="0"/>
        <w:adjustRightInd w:val="0"/>
        <w:spacing w:after="120" w:line="240" w:lineRule="auto"/>
        <w:rPr>
          <w:rFonts w:ascii="Calibri" w:hAnsi="Calibri" w:cs="Calibri"/>
          <w:kern w:val="0"/>
          <w:sz w:val="22"/>
          <w:szCs w:val="22"/>
        </w:rPr>
      </w:pPr>
      <w:r>
        <w:rPr>
          <w:rFonts w:ascii="Calibri" w:hAnsi="Calibri" w:cs="Calibri"/>
          <w:b/>
          <w:bCs/>
          <w:color w:val="1F3A5F"/>
          <w:kern w:val="0"/>
          <w:sz w:val="26"/>
          <w:szCs w:val="26"/>
        </w:rPr>
        <w:t>If it helps, one optional addition</w:t>
      </w:r>
    </w:p>
    <w:p w14:paraId="05C484BF"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b/>
          <w:bCs/>
          <w:kern w:val="0"/>
          <w:sz w:val="22"/>
          <w:szCs w:val="22"/>
        </w:rPr>
        <w:t xml:space="preserve">If you would also like to raise the </w:t>
      </w:r>
      <w:proofErr w:type="gramStart"/>
      <w:r>
        <w:rPr>
          <w:rFonts w:ascii="Calibri" w:hAnsi="Calibri" w:cs="Calibri"/>
          <w:b/>
          <w:bCs/>
          <w:kern w:val="0"/>
          <w:sz w:val="22"/>
          <w:szCs w:val="22"/>
        </w:rPr>
        <w:t>health</w:t>
      </w:r>
      <w:proofErr w:type="gramEnd"/>
      <w:r>
        <w:rPr>
          <w:rFonts w:ascii="Calibri" w:hAnsi="Calibri" w:cs="Calibri"/>
          <w:b/>
          <w:bCs/>
          <w:kern w:val="0"/>
          <w:sz w:val="22"/>
          <w:szCs w:val="22"/>
        </w:rPr>
        <w:t xml:space="preserve"> ask with your senator,</w:t>
      </w:r>
      <w:r>
        <w:rPr>
          <w:rFonts w:ascii="Calibri" w:hAnsi="Calibri" w:cs="Calibri"/>
          <w:kern w:val="0"/>
          <w:sz w:val="22"/>
          <w:szCs w:val="22"/>
        </w:rPr>
        <w:t xml:space="preserve"> add this as a fifth question, directed to the </w:t>
      </w:r>
      <w:proofErr w:type="gramStart"/>
      <w:r>
        <w:rPr>
          <w:rFonts w:ascii="Calibri" w:hAnsi="Calibri" w:cs="Calibri"/>
          <w:kern w:val="0"/>
          <w:sz w:val="22"/>
          <w:szCs w:val="22"/>
        </w:rPr>
        <w:t>Health</w:t>
      </w:r>
      <w:proofErr w:type="gramEnd"/>
      <w:r>
        <w:rPr>
          <w:rFonts w:ascii="Calibri" w:hAnsi="Calibri" w:cs="Calibri"/>
          <w:kern w:val="0"/>
          <w:sz w:val="22"/>
          <w:szCs w:val="22"/>
        </w:rPr>
        <w:t xml:space="preserve"> portfolio:</w:t>
      </w:r>
    </w:p>
    <w:p w14:paraId="5F255060" w14:textId="77777777" w:rsidR="00590A05" w:rsidRDefault="00590A05">
      <w:pPr>
        <w:widowControl w:val="0"/>
        <w:autoSpaceDE w:val="0"/>
        <w:autoSpaceDN w:val="0"/>
        <w:adjustRightInd w:val="0"/>
        <w:spacing w:after="180" w:line="240" w:lineRule="auto"/>
        <w:ind w:left="567" w:right="567"/>
        <w:rPr>
          <w:rFonts w:ascii="Calibri" w:hAnsi="Calibri" w:cs="Calibri"/>
          <w:kern w:val="0"/>
          <w:sz w:val="22"/>
          <w:szCs w:val="22"/>
        </w:rPr>
      </w:pPr>
      <w:r>
        <w:rPr>
          <w:rFonts w:ascii="Calibri" w:hAnsi="Calibri" w:cs="Calibri"/>
          <w:i/>
          <w:iCs/>
          <w:kern w:val="0"/>
          <w:sz w:val="22"/>
          <w:szCs w:val="22"/>
        </w:rPr>
        <w:t>Will the Australian Government commission a national Health Needs Assessment on ontological resilience and disclosure preparedness, including guidance for Primary Health Networks, Lifeline, state mental-health services, and Aboriginal Community Controlled Health Organisations?</w:t>
      </w:r>
    </w:p>
    <w:p w14:paraId="35896D89" w14:textId="77777777" w:rsidR="00590A05" w:rsidRDefault="00590A05">
      <w:pPr>
        <w:widowControl w:val="0"/>
        <w:autoSpaceDE w:val="0"/>
        <w:autoSpaceDN w:val="0"/>
        <w:adjustRightInd w:val="0"/>
        <w:spacing w:after="180" w:line="240" w:lineRule="auto"/>
        <w:rPr>
          <w:rFonts w:ascii="Calibri" w:hAnsi="Calibri" w:cs="Calibri"/>
          <w:kern w:val="0"/>
          <w:sz w:val="22"/>
          <w:szCs w:val="22"/>
        </w:rPr>
      </w:pPr>
      <w:r>
        <w:rPr>
          <w:rFonts w:ascii="Calibri" w:hAnsi="Calibri" w:cs="Calibri"/>
          <w:kern w:val="0"/>
          <w:sz w:val="22"/>
          <w:szCs w:val="22"/>
        </w:rPr>
        <w:t>There is also a useful precedent you may cite. In 2021, Senator Peter Whish-Wilson lodged Defence Portfolio Question on Notice No. 90 at Senate estimates. Defence's answer confirmed on the record that the RAAF stopped accepting UAP reports in 1996 and cancelled its Unusual Aerial Sightings policy in 2013. That answer is what establishes the gap. The four questions above are the natural follow-up.</w:t>
      </w:r>
    </w:p>
    <w:sectPr w:rsidR="00590A0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C004D"/>
    <w:rsid w:val="00590A05"/>
    <w:rsid w:val="007C004D"/>
    <w:rsid w:val="008071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7049F9"/>
  <w14:defaultImageDpi w14:val="0"/>
  <w15:docId w15:val="{5660DF63-80BC-49C2-A176-73B22C7D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McAllister</dc:creator>
  <cp:keywords/>
  <dc:description/>
  <cp:lastModifiedBy>Michelle McAllister</cp:lastModifiedBy>
  <cp:revision>2</cp:revision>
  <dcterms:created xsi:type="dcterms:W3CDTF">2026-09-11T03:05:00Z</dcterms:created>
  <dcterms:modified xsi:type="dcterms:W3CDTF">2026-09-11T03:05:00Z</dcterms:modified>
</cp:coreProperties>
</file>